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592"/>
        <w:jc w:val="center"/>
        <w:rPr>
          <w:b/>
        </w:rPr>
      </w:pPr>
      <w:r>
        <w:rPr>
          <w:b/>
        </w:rPr>
        <w:t xml:space="preserve">Места концентрации ДТП </w:t>
      </w:r>
      <w:r>
        <w:rPr>
          <w:b/>
        </w:rPr>
      </w:r>
      <w:r/>
    </w:p>
    <w:p>
      <w:pPr>
        <w:pStyle w:val="592"/>
        <w:jc w:val="center"/>
        <w:rPr>
          <w:b/>
        </w:rPr>
      </w:pPr>
      <w:r>
        <w:rPr>
          <w:b/>
        </w:rPr>
        <w:t xml:space="preserve">на автомобильных дорогах </w:t>
      </w:r>
      <w:r>
        <w:rPr>
          <w:b/>
        </w:rPr>
        <w:t xml:space="preserve">федерального значения</w:t>
      </w:r>
      <w:r>
        <w:rPr>
          <w:b/>
          <w:sz w:val="26"/>
        </w:rPr>
      </w:r>
      <w:r/>
    </w:p>
    <w:p>
      <w:pPr>
        <w:pStyle w:val="592"/>
        <w:jc w:val="center"/>
        <w:rPr>
          <w:b/>
          <w:sz w:val="26"/>
        </w:rPr>
      </w:pPr>
      <w:r>
        <w:rPr>
          <w:b/>
        </w:rPr>
        <w:t xml:space="preserve">по итогам 12 месяцев 2020 года</w:t>
      </w:r>
      <w:r>
        <w:rPr>
          <w:b/>
        </w:rPr>
      </w:r>
      <w:r/>
    </w:p>
    <w:p>
      <w:pPr>
        <w:pStyle w:val="592"/>
        <w:jc w:val="center"/>
        <w:rPr>
          <w:b/>
          <w:sz w:val="26"/>
        </w:rPr>
      </w:pPr>
      <w:r>
        <w:rPr>
          <w:b/>
          <w:sz w:val="26"/>
        </w:rPr>
      </w:r>
      <w:r/>
    </w:p>
    <w:tbl>
      <w:tblPr>
        <w:tblW w:w="9127" w:type="dxa"/>
        <w:jc w:val="center"/>
        <w:tblInd w:w="-7382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0"/>
        <w:gridCol w:w="3338"/>
        <w:gridCol w:w="5069"/>
      </w:tblGrid>
      <w:tr>
        <w:trPr>
          <w:trHeight w:val="961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dxa"/>
            <w:vAlign w:val="top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№</w:t>
            </w:r>
            <w:r/>
          </w:p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п/п</w:t>
            </w:r>
            <w:r/>
          </w:p>
          <w:p>
            <w:pPr>
              <w:pStyle w:val="574"/>
              <w:jc w:val="center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338" w:type="dxa"/>
            <w:vAlign w:val="top"/>
            <w:textDirection w:val="lrTb"/>
            <w:noWrap w:val="false"/>
          </w:tcPr>
          <w:p>
            <w:pPr>
              <w:pStyle w:val="592"/>
              <w:ind w:left="69" w:hanging="69"/>
              <w:jc w:val="center"/>
              <w:rPr>
                <w:sz w:val="26"/>
              </w:rPr>
            </w:pPr>
            <w:r>
              <w:rPr>
                <w:sz w:val="26"/>
              </w:rPr>
            </w:r>
            <w:r/>
          </w:p>
          <w:p>
            <w:pPr>
              <w:pStyle w:val="592"/>
              <w:ind w:left="69" w:hanging="69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Наименование дороги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69" w:type="dxa"/>
            <w:vAlign w:val="top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Адрес</w:t>
            </w:r>
            <w:r/>
          </w:p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</w:t>
            </w:r>
            <w:r>
              <w:rPr>
                <w:sz w:val="26"/>
              </w:rPr>
              <w:t xml:space="preserve">частка</w:t>
            </w:r>
            <w:r>
              <w:rPr>
                <w:sz w:val="26"/>
              </w:rPr>
              <w:t xml:space="preserve">,</w:t>
            </w:r>
            <w:r>
              <w:rPr>
                <w:sz w:val="26"/>
              </w:rPr>
            </w:r>
            <w:r/>
          </w:p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к</w:t>
            </w:r>
            <w:r>
              <w:rPr>
                <w:sz w:val="26"/>
              </w:rPr>
              <w:t xml:space="preserve">м+м</w:t>
            </w:r>
            <w:r/>
          </w:p>
        </w:tc>
      </w:tr>
      <w:tr>
        <w:trPr>
          <w:trHeight w:val="800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1</w:t>
            </w:r>
            <w:r>
              <w:rPr>
                <w:sz w:val="26"/>
              </w:rPr>
              <w:t xml:space="preserve">.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338" w:type="dxa"/>
            <w:vAlign w:val="center"/>
            <w:textDirection w:val="lrTb"/>
            <w:noWrap w:val="false"/>
          </w:tcPr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  <w:t xml:space="preserve">М – 5 «Урал» </w:t>
            </w:r>
            <w:r/>
          </w:p>
          <w:p>
            <w:pPr>
              <w:pStyle w:val="592"/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с 627+650 </w:t>
            </w:r>
            <w:r>
              <w:rPr>
                <w:sz w:val="26"/>
              </w:rPr>
              <w:t xml:space="preserve">по 627+700</w:t>
            </w:r>
            <w:r>
              <w:rPr>
                <w:sz w:val="26"/>
              </w:rPr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(г. Пенза, напротив дома №54А по ул. Ульяновская)</w:t>
            </w:r>
            <w:r>
              <w:rPr>
                <w:i/>
                <w:sz w:val="26"/>
              </w:rPr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</w:r>
            <w:r>
              <w:rPr>
                <w:i/>
                <w:sz w:val="26"/>
              </w:rPr>
            </w:r>
            <w:r/>
          </w:p>
        </w:tc>
      </w:tr>
      <w:tr>
        <w:trPr>
          <w:trHeight w:val="1068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2</w:t>
            </w:r>
            <w:r>
              <w:rPr>
                <w:sz w:val="26"/>
              </w:rPr>
              <w:t xml:space="preserve">.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338" w:type="dxa"/>
            <w:vAlign w:val="center"/>
            <w:textDirection w:val="lrTb"/>
            <w:noWrap w:val="false"/>
          </w:tcPr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  <w:t xml:space="preserve">М – 5 «Урал» </w:t>
            </w:r>
            <w:r/>
          </w:p>
          <w:p>
            <w:pPr>
              <w:pStyle w:val="592"/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pStyle w:val="574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с 646+100 </w:t>
            </w:r>
            <w:r>
              <w:rPr>
                <w:sz w:val="26"/>
              </w:rPr>
              <w:t xml:space="preserve">по 646+200</w:t>
            </w:r>
            <w:r>
              <w:rPr>
                <w:sz w:val="26"/>
              </w:rPr>
            </w:r>
            <w:r/>
          </w:p>
          <w:p>
            <w:pPr>
              <w:pStyle w:val="574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(в районе поворота на п. Монтажный)</w:t>
            </w:r>
            <w:r>
              <w:rPr>
                <w:i/>
                <w:sz w:val="26"/>
              </w:rPr>
            </w:r>
            <w:r/>
          </w:p>
        </w:tc>
      </w:tr>
      <w:tr>
        <w:trPr>
          <w:trHeight w:val="846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3</w:t>
            </w:r>
            <w:r>
              <w:rPr>
                <w:sz w:val="26"/>
              </w:rPr>
              <w:t xml:space="preserve">.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338" w:type="dxa"/>
            <w:vAlign w:val="center"/>
            <w:textDirection w:val="lrTb"/>
            <w:noWrap w:val="false"/>
          </w:tcPr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  <w:t xml:space="preserve">М – 5 «Урал» </w:t>
            </w:r>
            <w:r/>
          </w:p>
          <w:p>
            <w:pPr>
              <w:pStyle w:val="592"/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с 647+600 </w:t>
            </w:r>
            <w:r>
              <w:rPr>
                <w:sz w:val="26"/>
              </w:rPr>
              <w:t xml:space="preserve">по 648 +400</w:t>
            </w:r>
            <w:r>
              <w:rPr>
                <w:sz w:val="16"/>
                <w:szCs w:val="16"/>
              </w:rPr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(в районе СДТ «Яблонька», выезд из                      г. Пензы в сторону г. Самары)</w:t>
            </w:r>
            <w:r>
              <w:rPr>
                <w:i/>
                <w:sz w:val="26"/>
              </w:rPr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</w:r>
            <w:r>
              <w:rPr>
                <w:i/>
                <w:sz w:val="26"/>
              </w:rPr>
            </w:r>
            <w:r/>
          </w:p>
        </w:tc>
      </w:tr>
      <w:tr>
        <w:trPr>
          <w:trHeight w:val="961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4</w:t>
            </w:r>
            <w:r>
              <w:rPr>
                <w:sz w:val="26"/>
              </w:rPr>
              <w:t xml:space="preserve">.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338" w:type="dxa"/>
            <w:vAlign w:val="center"/>
            <w:textDirection w:val="lrTb"/>
            <w:noWrap w:val="false"/>
          </w:tcPr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  <w:t xml:space="preserve">М – 5 «Урал» </w:t>
            </w:r>
            <w:r/>
          </w:p>
          <w:p>
            <w:pPr>
              <w:pStyle w:val="592"/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  <w:szCs w:val="16"/>
              </w:rPr>
            </w:pPr>
            <w:r>
              <w:rPr>
                <w:sz w:val="26"/>
              </w:rPr>
              <w:t xml:space="preserve">с 714+250 </w:t>
            </w:r>
            <w:r>
              <w:rPr>
                <w:sz w:val="26"/>
              </w:rPr>
              <w:t xml:space="preserve"> по 714+450</w:t>
            </w:r>
            <w:r>
              <w:rPr>
                <w:sz w:val="16"/>
                <w:szCs w:val="16"/>
              </w:rPr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  <w:szCs w:val="16"/>
              </w:rPr>
            </w:pPr>
            <w:r>
              <w:rPr>
                <w:i/>
                <w:sz w:val="26"/>
              </w:rPr>
              <w:t xml:space="preserve">(Городищенский район,</w:t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  <w:szCs w:val="16"/>
              </w:rPr>
            </w:pPr>
            <w:r>
              <w:rPr>
                <w:i/>
                <w:sz w:val="26"/>
              </w:rPr>
              <w:t xml:space="preserve"> с. Н. Елюзань, пересечение с а/д </w:t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  <w:szCs w:val="16"/>
              </w:rPr>
            </w:pPr>
            <w:r>
              <w:rPr>
                <w:i/>
                <w:sz w:val="26"/>
              </w:rPr>
              <w:t xml:space="preserve">«Н.Елюзань-Р. Камешкир-Лопатино»)</w:t>
            </w:r>
            <w:r>
              <w:rPr>
                <w:i/>
                <w:sz w:val="26"/>
              </w:rPr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  <w:szCs w:val="16"/>
              </w:rPr>
            </w:pPr>
            <w:r>
              <w:rPr>
                <w:i/>
                <w:sz w:val="26"/>
              </w:rPr>
            </w:r>
            <w:r>
              <w:rPr>
                <w:i/>
                <w:sz w:val="26"/>
              </w:rPr>
            </w:r>
            <w:r/>
          </w:p>
        </w:tc>
      </w:tr>
      <w:tr>
        <w:trPr>
          <w:trHeight w:val="1090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5</w:t>
            </w:r>
            <w:r>
              <w:rPr>
                <w:sz w:val="26"/>
              </w:rPr>
              <w:t xml:space="preserve">.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338" w:type="dxa"/>
            <w:vAlign w:val="center"/>
            <w:textDirection w:val="lrTb"/>
            <w:noWrap w:val="false"/>
          </w:tcPr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  <w:t xml:space="preserve">М – 5 «Урал» </w:t>
            </w:r>
            <w:r/>
          </w:p>
          <w:p>
            <w:pPr>
              <w:pStyle w:val="592"/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с 752+128 </w:t>
            </w:r>
            <w:r>
              <w:rPr>
                <w:sz w:val="26"/>
              </w:rPr>
              <w:t xml:space="preserve">по 752+160</w:t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(г. Кузнецк, пересечение </w:t>
            </w:r>
            <w:r>
              <w:rPr>
                <w:i/>
              </w:rPr>
            </w:r>
            <w:r/>
          </w:p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i/>
                <w:sz w:val="26"/>
              </w:rPr>
              <w:t xml:space="preserve">с Алексеевским Шоссе)</w:t>
            </w:r>
            <w:r>
              <w:rPr>
                <w:sz w:val="26"/>
              </w:rPr>
            </w:r>
            <w:r/>
          </w:p>
        </w:tc>
      </w:tr>
      <w:tr>
        <w:trPr>
          <w:trHeight w:val="1262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6</w:t>
            </w:r>
            <w:r>
              <w:rPr>
                <w:sz w:val="26"/>
              </w:rPr>
              <w:t xml:space="preserve">.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338" w:type="dxa"/>
            <w:vAlign w:val="center"/>
            <w:textDirection w:val="lrTb"/>
            <w:noWrap w:val="false"/>
          </w:tcPr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  <w:t xml:space="preserve">Р-208 «Тамбов-Пенза» </w:t>
            </w:r>
            <w:r/>
          </w:p>
          <w:p>
            <w:pPr>
              <w:pStyle w:val="592"/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с 144+450 </w:t>
            </w:r>
            <w:r>
              <w:rPr>
                <w:sz w:val="26"/>
              </w:rPr>
              <w:t xml:space="preserve">по 144+599</w:t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(Белинский район, пересечение </w:t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с а/д «Поим-Башмаково-Земетчино»)</w:t>
            </w:r>
            <w:r>
              <w:rPr>
                <w:i/>
                <w:sz w:val="26"/>
              </w:rPr>
            </w:r>
            <w:r/>
          </w:p>
        </w:tc>
      </w:tr>
      <w:tr>
        <w:trPr>
          <w:trHeight w:val="1172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7</w:t>
            </w:r>
            <w:r>
              <w:rPr>
                <w:sz w:val="26"/>
              </w:rPr>
              <w:t xml:space="preserve">.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338" w:type="dxa"/>
            <w:vAlign w:val="center"/>
            <w:textDirection w:val="lrTb"/>
            <w:noWrap w:val="false"/>
          </w:tcPr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  <w:p>
            <w:pPr>
              <w:pStyle w:val="592"/>
              <w:ind w:firstLine="42"/>
              <w:jc w:val="left"/>
            </w:pPr>
            <w:r>
              <w:rPr>
                <w:sz w:val="26"/>
              </w:rPr>
              <w:t xml:space="preserve">Р-208 «Тамбов-Пенза» </w:t>
            </w:r>
            <w:r>
              <w:rPr>
                <w:sz w:val="26"/>
              </w:rPr>
            </w:r>
            <w:r/>
          </w:p>
          <w:p>
            <w:pPr>
              <w:pStyle w:val="592"/>
              <w:ind w:firstLine="42"/>
              <w:jc w:val="left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с 276+515 </w:t>
            </w:r>
            <w:r>
              <w:rPr>
                <w:sz w:val="26"/>
              </w:rPr>
              <w:t xml:space="preserve">по 277+030</w:t>
            </w:r>
            <w:r/>
          </w:p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i/>
                <w:sz w:val="26"/>
              </w:rPr>
              <w:t xml:space="preserve">(въезд в г. Пензу со стороны г. Тамбова)</w:t>
            </w:r>
            <w:r>
              <w:rPr>
                <w:sz w:val="26"/>
              </w:rPr>
            </w:r>
            <w:r/>
          </w:p>
        </w:tc>
      </w:tr>
      <w:tr>
        <w:trPr>
          <w:trHeight w:val="1637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8.</w:t>
            </w: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338" w:type="dxa"/>
            <w:vAlign w:val="center"/>
            <w:textDirection w:val="lrTb"/>
            <w:noWrap w:val="false"/>
          </w:tcPr>
          <w:p>
            <w:pPr>
              <w:pStyle w:val="592"/>
              <w:ind w:firstLine="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pStyle w:val="592"/>
              <w:ind w:firstLine="42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Р-158 «Н.Новгород-Арзамас-Саранск-Исса-Пенза-Саратов»</w:t>
            </w:r>
            <w:r/>
          </w:p>
          <w:p>
            <w:pPr>
              <w:pStyle w:val="592"/>
              <w:ind w:firstLine="0"/>
              <w:jc w:val="left"/>
              <w:rPr>
                <w:sz w:val="26"/>
              </w:rPr>
            </w:pPr>
            <w:r>
              <w:rPr>
                <w:sz w:val="26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069" w:type="dxa"/>
            <w:vAlign w:val="center"/>
            <w:textDirection w:val="lrTb"/>
            <w:noWrap w:val="false"/>
          </w:tcPr>
          <w:p>
            <w:pPr>
              <w:pStyle w:val="592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с 477+480 </w:t>
            </w:r>
            <w:r>
              <w:rPr>
                <w:sz w:val="26"/>
              </w:rPr>
              <w:t xml:space="preserve">по 478+</w:t>
            </w:r>
            <w:r>
              <w:rPr>
                <w:sz w:val="26"/>
              </w:rPr>
              <w:t xml:space="preserve">244</w:t>
            </w:r>
            <w:r/>
          </w:p>
          <w:p>
            <w:pPr>
              <w:pStyle w:val="592"/>
              <w:ind w:firstLine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(Пензенский район, в районе с. Вырыпаево)</w:t>
            </w:r>
            <w:r>
              <w:rPr>
                <w:i/>
                <w:sz w:val="26"/>
              </w:rPr>
            </w:r>
          </w:p>
        </w:tc>
      </w:tr>
    </w:tbl>
    <w:p>
      <w:pPr>
        <w:pStyle w:val="592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592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</w:r>
      <w:r/>
    </w:p>
    <w:p>
      <w:pPr>
        <w:pStyle w:val="574"/>
      </w:pPr>
      <w:r/>
      <w:r/>
    </w:p>
    <w:p>
      <w:pPr>
        <w:pStyle w:val="574"/>
      </w:pPr>
      <w:r/>
      <w:r/>
    </w:p>
    <w:sectPr>
      <w:headerReference w:type="even" r:id="rId8"/>
      <w:footnotePr/>
      <w:type w:val="nextPage"/>
      <w:pgSz w:w="11907" w:h="16840" w:orient="portrait"/>
      <w:pgMar w:top="1134" w:right="851" w:bottom="993" w:left="1134" w:header="284" w:footer="283" w:gutter="0"/>
      <w:pgNumType w:start="1"/>
      <w:cols w:num="1" w:sep="0" w:space="720" w:equalWidth="1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582"/>
      <w:rPr>
        <w:rStyle w:val="587"/>
      </w:rPr>
      <w:framePr w:wrap="around" w:vAnchor="text" w:hAnchor="margin" w:xAlign="center" w:y="1"/>
    </w:pPr>
    <w:r>
      <w:rPr>
        <w:rStyle w:val="587"/>
      </w:rPr>
      <w:fldChar w:fldCharType="begin"/>
    </w:r>
    <w:r>
      <w:rPr>
        <w:rStyle w:val="587"/>
      </w:rPr>
      <w:instrText xml:space="preserve">PAGE  </w:instrText>
    </w:r>
    <w:r>
      <w:rPr>
        <w:rStyle w:val="587"/>
      </w:rPr>
      <w:fldChar w:fldCharType="end"/>
    </w:r>
    <w:r>
      <w:rPr>
        <w:rStyle w:val="587"/>
      </w:rPr>
    </w:r>
    <w:r/>
  </w:p>
  <w:p>
    <w:pPr>
      <w:pStyle w:val="58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574"/>
        <w:ind w:left="89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574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574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574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574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574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574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574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574"/>
        <w:ind w:left="665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574"/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pStyle w:val="574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574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574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574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574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574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574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574"/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upperRoman"/>
      <w:pStyle w:val="589"/>
      <w:isLgl w:val="false"/>
      <w:suff w:val="tab"/>
      <w:lvlText w:val="%1."/>
      <w:lvlJc w:val="right"/>
      <w:pPr>
        <w:pStyle w:val="574"/>
        <w:ind w:left="1315" w:hanging="180"/>
        <w:tabs>
          <w:tab w:val="num" w:pos="1315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pStyle w:val="574"/>
        <w:ind w:left="0" w:firstLine="0"/>
        <w:tabs>
          <w:tab w:val="num" w:pos="-1057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pStyle w:val="574"/>
        <w:ind w:left="0" w:firstLine="0"/>
        <w:tabs>
          <w:tab w:val="num" w:pos="-1057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pStyle w:val="574"/>
        <w:ind w:left="0" w:firstLine="0"/>
        <w:tabs>
          <w:tab w:val="num" w:pos="-1057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pStyle w:val="574"/>
        <w:ind w:left="0" w:firstLine="0"/>
        <w:tabs>
          <w:tab w:val="num" w:pos="-1057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pStyle w:val="574"/>
        <w:ind w:left="0" w:firstLine="0"/>
        <w:tabs>
          <w:tab w:val="num" w:pos="-1057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pStyle w:val="574"/>
        <w:ind w:left="0" w:firstLine="0"/>
        <w:tabs>
          <w:tab w:val="num" w:pos="-1057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pStyle w:val="574"/>
        <w:ind w:left="0" w:firstLine="0"/>
        <w:tabs>
          <w:tab w:val="num" w:pos="-1057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pStyle w:val="574"/>
        <w:ind w:left="0" w:firstLine="0"/>
        <w:tabs>
          <w:tab w:val="num" w:pos="-1057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574"/>
        <w:ind w:left="720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pStyle w:val="57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57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57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57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57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57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57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574"/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574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574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574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574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574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574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574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574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574"/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0"/>
    </w:lvlOverride>
    <w:lvlOverride w:ilvl="2">
      <w:startOverride w:val="0"/>
    </w:lvlOverride>
    <w:lvlOverride w:ilvl="3">
      <w:startOverride w:val="0"/>
    </w:lvlOverride>
    <w:lvlOverride w:ilvl="4">
      <w:startOverride w:val="0"/>
    </w:lvlOverride>
    <w:lvlOverride w:ilvl="5">
      <w:startOverride w:val="0"/>
    </w:lvlOverride>
    <w:lvlOverride w:ilvl="6">
      <w:startOverride w:val="0"/>
    </w:lvlOverride>
    <w:lvlOverride w:ilvl="7">
      <w:startOverride w:val="0"/>
    </w:lvlOverride>
    <w:lvlOverride w:ilvl="8">
      <w:startOverride w:val="0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00">
    <w:name w:val="Heading 1"/>
    <w:link w:val="40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01">
    <w:name w:val="Heading 1 Char"/>
    <w:link w:val="400"/>
    <w:uiPriority w:val="9"/>
    <w:rPr>
      <w:rFonts w:ascii="Arial" w:hAnsi="Arial" w:cs="Arial" w:eastAsia="Arial"/>
      <w:sz w:val="40"/>
      <w:szCs w:val="40"/>
    </w:rPr>
  </w:style>
  <w:style w:type="paragraph" w:styleId="402">
    <w:name w:val="Heading 2"/>
    <w:link w:val="40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03">
    <w:name w:val="Heading 2 Char"/>
    <w:link w:val="402"/>
    <w:uiPriority w:val="9"/>
    <w:rPr>
      <w:rFonts w:ascii="Arial" w:hAnsi="Arial" w:cs="Arial" w:eastAsia="Arial"/>
      <w:sz w:val="34"/>
    </w:rPr>
  </w:style>
  <w:style w:type="paragraph" w:styleId="404">
    <w:name w:val="Heading 3"/>
    <w:link w:val="40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05">
    <w:name w:val="Heading 3 Char"/>
    <w:link w:val="404"/>
    <w:uiPriority w:val="9"/>
    <w:rPr>
      <w:rFonts w:ascii="Arial" w:hAnsi="Arial" w:cs="Arial" w:eastAsia="Arial"/>
      <w:sz w:val="30"/>
      <w:szCs w:val="30"/>
    </w:rPr>
  </w:style>
  <w:style w:type="paragraph" w:styleId="406">
    <w:name w:val="Heading 4"/>
    <w:link w:val="40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07">
    <w:name w:val="Heading 4 Char"/>
    <w:link w:val="406"/>
    <w:uiPriority w:val="9"/>
    <w:rPr>
      <w:rFonts w:ascii="Arial" w:hAnsi="Arial" w:cs="Arial" w:eastAsia="Arial"/>
      <w:b/>
      <w:bCs/>
      <w:sz w:val="26"/>
      <w:szCs w:val="26"/>
    </w:rPr>
  </w:style>
  <w:style w:type="paragraph" w:styleId="408">
    <w:name w:val="Heading 5"/>
    <w:link w:val="40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09">
    <w:name w:val="Heading 5 Char"/>
    <w:link w:val="408"/>
    <w:uiPriority w:val="9"/>
    <w:rPr>
      <w:rFonts w:ascii="Arial" w:hAnsi="Arial" w:cs="Arial" w:eastAsia="Arial"/>
      <w:b/>
      <w:bCs/>
      <w:sz w:val="24"/>
      <w:szCs w:val="24"/>
    </w:rPr>
  </w:style>
  <w:style w:type="paragraph" w:styleId="410">
    <w:name w:val="Heading 6"/>
    <w:link w:val="41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11">
    <w:name w:val="Heading 6 Char"/>
    <w:link w:val="410"/>
    <w:uiPriority w:val="9"/>
    <w:rPr>
      <w:rFonts w:ascii="Arial" w:hAnsi="Arial" w:cs="Arial" w:eastAsia="Arial"/>
      <w:b/>
      <w:bCs/>
      <w:sz w:val="22"/>
      <w:szCs w:val="22"/>
    </w:rPr>
  </w:style>
  <w:style w:type="paragraph" w:styleId="412">
    <w:name w:val="Heading 7"/>
    <w:link w:val="41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13">
    <w:name w:val="Heading 7 Char"/>
    <w:link w:val="41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14">
    <w:name w:val="Heading 8"/>
    <w:link w:val="41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15">
    <w:name w:val="Heading 8 Char"/>
    <w:link w:val="414"/>
    <w:uiPriority w:val="9"/>
    <w:rPr>
      <w:rFonts w:ascii="Arial" w:hAnsi="Arial" w:cs="Arial" w:eastAsia="Arial"/>
      <w:i/>
      <w:iCs/>
      <w:sz w:val="22"/>
      <w:szCs w:val="22"/>
    </w:rPr>
  </w:style>
  <w:style w:type="paragraph" w:styleId="416">
    <w:name w:val="Heading 9"/>
    <w:link w:val="41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17">
    <w:name w:val="Heading 9 Char"/>
    <w:link w:val="416"/>
    <w:uiPriority w:val="9"/>
    <w:rPr>
      <w:rFonts w:ascii="Arial" w:hAnsi="Arial" w:cs="Arial" w:eastAsia="Arial"/>
      <w:i/>
      <w:iCs/>
      <w:sz w:val="21"/>
      <w:szCs w:val="21"/>
    </w:rPr>
  </w:style>
  <w:style w:type="paragraph" w:styleId="418">
    <w:name w:val="List Paragraph"/>
    <w:qFormat/>
    <w:uiPriority w:val="34"/>
    <w:pPr>
      <w:contextualSpacing w:val="true"/>
      <w:ind w:left="720"/>
    </w:pPr>
  </w:style>
  <w:style w:type="paragraph" w:styleId="419">
    <w:name w:val="No Spacing"/>
    <w:qFormat/>
    <w:uiPriority w:val="1"/>
    <w:pPr>
      <w:spacing w:lineRule="auto" w:line="240" w:after="0" w:before="0"/>
    </w:pPr>
  </w:style>
  <w:style w:type="paragraph" w:styleId="420">
    <w:name w:val="Title"/>
    <w:link w:val="42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21">
    <w:name w:val="Title Char"/>
    <w:link w:val="420"/>
    <w:uiPriority w:val="10"/>
    <w:rPr>
      <w:sz w:val="48"/>
      <w:szCs w:val="48"/>
    </w:rPr>
  </w:style>
  <w:style w:type="paragraph" w:styleId="422">
    <w:name w:val="Subtitle"/>
    <w:link w:val="423"/>
    <w:qFormat/>
    <w:uiPriority w:val="11"/>
    <w:rPr>
      <w:sz w:val="24"/>
      <w:szCs w:val="24"/>
    </w:rPr>
    <w:pPr>
      <w:spacing w:after="200" w:before="200"/>
    </w:pPr>
  </w:style>
  <w:style w:type="character" w:styleId="423">
    <w:name w:val="Subtitle Char"/>
    <w:link w:val="422"/>
    <w:uiPriority w:val="11"/>
    <w:rPr>
      <w:sz w:val="24"/>
      <w:szCs w:val="24"/>
    </w:rPr>
  </w:style>
  <w:style w:type="paragraph" w:styleId="424">
    <w:name w:val="Quote"/>
    <w:link w:val="425"/>
    <w:qFormat/>
    <w:uiPriority w:val="29"/>
    <w:rPr>
      <w:i/>
    </w:rPr>
    <w:pPr>
      <w:ind w:left="720" w:right="720"/>
    </w:pPr>
  </w:style>
  <w:style w:type="character" w:styleId="425">
    <w:name w:val="Quote Char"/>
    <w:link w:val="424"/>
    <w:uiPriority w:val="29"/>
    <w:rPr>
      <w:i/>
    </w:rPr>
  </w:style>
  <w:style w:type="paragraph" w:styleId="426">
    <w:name w:val="Intense Quote"/>
    <w:link w:val="427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27">
    <w:name w:val="Intense Quote Char"/>
    <w:link w:val="426"/>
    <w:uiPriority w:val="30"/>
    <w:rPr>
      <w:i/>
    </w:rPr>
  </w:style>
  <w:style w:type="paragraph" w:styleId="428">
    <w:name w:val="Header"/>
    <w:link w:val="42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29">
    <w:name w:val="Header Char"/>
    <w:link w:val="428"/>
    <w:uiPriority w:val="99"/>
  </w:style>
  <w:style w:type="paragraph" w:styleId="430">
    <w:name w:val="Footer"/>
    <w:link w:val="43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1">
    <w:name w:val="Footer Char"/>
    <w:link w:val="430"/>
    <w:uiPriority w:val="99"/>
  </w:style>
  <w:style w:type="paragraph" w:styleId="432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33">
    <w:name w:val="Caption Char"/>
    <w:basedOn w:val="432"/>
    <w:link w:val="430"/>
    <w:uiPriority w:val="99"/>
  </w:style>
  <w:style w:type="table" w:styleId="434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35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36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37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38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39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40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41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42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43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44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45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46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47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48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449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450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51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52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53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54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55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6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7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8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9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60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61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62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463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464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465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466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467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468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469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470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471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472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473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474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475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476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477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478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479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480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481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82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83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484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485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86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87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88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489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490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491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492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493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494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495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96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97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498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499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00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01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02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03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04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5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6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7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9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7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8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9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20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21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22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23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24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25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26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27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28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29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30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31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532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533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534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535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536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537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538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539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40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41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42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43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44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45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46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47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48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49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50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51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52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53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554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555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556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557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558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559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560">
    <w:name w:val="Hyperlink"/>
    <w:uiPriority w:val="99"/>
    <w:unhideWhenUsed/>
    <w:rPr>
      <w:color w:val="0000FF" w:themeColor="hyperlink"/>
      <w:u w:val="single"/>
    </w:rPr>
  </w:style>
  <w:style w:type="paragraph" w:styleId="561">
    <w:name w:val="footnote text"/>
    <w:link w:val="562"/>
    <w:uiPriority w:val="99"/>
    <w:semiHidden/>
    <w:unhideWhenUsed/>
    <w:rPr>
      <w:sz w:val="18"/>
    </w:rPr>
    <w:pPr>
      <w:spacing w:lineRule="auto" w:line="240" w:after="40"/>
    </w:pPr>
  </w:style>
  <w:style w:type="character" w:styleId="562">
    <w:name w:val="Footnote Text Char"/>
    <w:link w:val="561"/>
    <w:uiPriority w:val="99"/>
    <w:rPr>
      <w:sz w:val="18"/>
    </w:rPr>
  </w:style>
  <w:style w:type="character" w:styleId="563">
    <w:name w:val="footnote reference"/>
    <w:uiPriority w:val="99"/>
    <w:unhideWhenUsed/>
    <w:rPr>
      <w:vertAlign w:val="superscript"/>
    </w:rPr>
  </w:style>
  <w:style w:type="paragraph" w:styleId="564">
    <w:name w:val="toc 1"/>
    <w:uiPriority w:val="39"/>
    <w:unhideWhenUsed/>
    <w:pPr>
      <w:ind w:left="0" w:right="0" w:firstLine="0"/>
      <w:spacing w:after="57"/>
    </w:pPr>
  </w:style>
  <w:style w:type="paragraph" w:styleId="565">
    <w:name w:val="toc 2"/>
    <w:uiPriority w:val="39"/>
    <w:unhideWhenUsed/>
    <w:pPr>
      <w:ind w:left="283" w:right="0" w:firstLine="0"/>
      <w:spacing w:after="57"/>
    </w:pPr>
  </w:style>
  <w:style w:type="paragraph" w:styleId="566">
    <w:name w:val="toc 3"/>
    <w:uiPriority w:val="39"/>
    <w:unhideWhenUsed/>
    <w:pPr>
      <w:ind w:left="567" w:right="0" w:firstLine="0"/>
      <w:spacing w:after="57"/>
    </w:pPr>
  </w:style>
  <w:style w:type="paragraph" w:styleId="567">
    <w:name w:val="toc 4"/>
    <w:uiPriority w:val="39"/>
    <w:unhideWhenUsed/>
    <w:pPr>
      <w:ind w:left="850" w:right="0" w:firstLine="0"/>
      <w:spacing w:after="57"/>
    </w:pPr>
  </w:style>
  <w:style w:type="paragraph" w:styleId="568">
    <w:name w:val="toc 5"/>
    <w:uiPriority w:val="39"/>
    <w:unhideWhenUsed/>
    <w:pPr>
      <w:ind w:left="1134" w:right="0" w:firstLine="0"/>
      <w:spacing w:after="57"/>
    </w:pPr>
  </w:style>
  <w:style w:type="paragraph" w:styleId="569">
    <w:name w:val="toc 6"/>
    <w:uiPriority w:val="39"/>
    <w:unhideWhenUsed/>
    <w:pPr>
      <w:ind w:left="1417" w:right="0" w:firstLine="0"/>
      <w:spacing w:after="57"/>
    </w:pPr>
  </w:style>
  <w:style w:type="paragraph" w:styleId="570">
    <w:name w:val="toc 7"/>
    <w:uiPriority w:val="39"/>
    <w:unhideWhenUsed/>
    <w:pPr>
      <w:ind w:left="1701" w:right="0" w:firstLine="0"/>
      <w:spacing w:after="57"/>
    </w:pPr>
  </w:style>
  <w:style w:type="paragraph" w:styleId="571">
    <w:name w:val="toc 8"/>
    <w:uiPriority w:val="39"/>
    <w:unhideWhenUsed/>
    <w:pPr>
      <w:ind w:left="1984" w:right="0" w:firstLine="0"/>
      <w:spacing w:after="57"/>
    </w:pPr>
  </w:style>
  <w:style w:type="paragraph" w:styleId="572">
    <w:name w:val="toc 9"/>
    <w:uiPriority w:val="39"/>
    <w:unhideWhenUsed/>
    <w:pPr>
      <w:ind w:left="2268" w:right="0" w:firstLine="0"/>
      <w:spacing w:after="57"/>
    </w:pPr>
  </w:style>
  <w:style w:type="paragraph" w:styleId="573">
    <w:name w:val="TOC Heading"/>
    <w:uiPriority w:val="39"/>
    <w:unhideWhenUsed/>
  </w:style>
  <w:style w:type="paragraph" w:styleId="574">
    <w:name w:val="Обычный"/>
    <w:next w:val="574"/>
    <w:link w:val="574"/>
    <w:rPr>
      <w:lang w:val="ru-RU" w:bidi="ar-SA" w:eastAsia="ru-RU"/>
    </w:rPr>
    <w:pPr>
      <w:widowControl w:val="off"/>
    </w:pPr>
  </w:style>
  <w:style w:type="paragraph" w:styleId="575">
    <w:name w:val="Заголовок 1"/>
    <w:basedOn w:val="574"/>
    <w:next w:val="574"/>
    <w:link w:val="574"/>
    <w:rPr>
      <w:sz w:val="24"/>
    </w:rPr>
    <w:pPr>
      <w:jc w:val="both"/>
      <w:keepNext/>
      <w:widowControl/>
      <w:outlineLvl w:val="0"/>
    </w:pPr>
  </w:style>
  <w:style w:type="paragraph" w:styleId="576">
    <w:name w:val="Заголовок 2"/>
    <w:basedOn w:val="574"/>
    <w:next w:val="574"/>
    <w:link w:val="574"/>
    <w:rPr>
      <w:sz w:val="24"/>
    </w:rPr>
    <w:pPr>
      <w:keepNext/>
      <w:widowControl/>
      <w:outlineLvl w:val="1"/>
    </w:pPr>
  </w:style>
  <w:style w:type="paragraph" w:styleId="577">
    <w:name w:val="Заголовок 3"/>
    <w:basedOn w:val="574"/>
    <w:next w:val="574"/>
    <w:link w:val="574"/>
    <w:rPr>
      <w:b/>
      <w:sz w:val="40"/>
    </w:rPr>
    <w:pPr>
      <w:jc w:val="center"/>
      <w:keepNext/>
      <w:widowControl/>
      <w:outlineLvl w:val="2"/>
    </w:pPr>
  </w:style>
  <w:style w:type="paragraph" w:styleId="578">
    <w:name w:val="Заголовок 4"/>
    <w:basedOn w:val="574"/>
    <w:next w:val="574"/>
    <w:link w:val="574"/>
    <w:rPr>
      <w:sz w:val="28"/>
    </w:rPr>
    <w:pPr>
      <w:jc w:val="center"/>
      <w:keepNext/>
      <w:outlineLvl w:val="3"/>
    </w:pPr>
  </w:style>
  <w:style w:type="table" w:styleId="579">
    <w:name w:val="Обычная таблица"/>
    <w:next w:val="579"/>
    <w:link w:val="574"/>
    <w:semiHidden/>
    <w:tblPr/>
  </w:style>
  <w:style w:type="numbering" w:styleId="580">
    <w:name w:val="Нет списка"/>
    <w:next w:val="580"/>
    <w:link w:val="574"/>
    <w:semiHidden/>
  </w:style>
  <w:style w:type="character" w:styleId="581">
    <w:name w:val="Основной шрифт абзаца"/>
    <w:next w:val="581"/>
    <w:link w:val="574"/>
    <w:semiHidden/>
    <w:rPr>
      <w:sz w:val="20"/>
    </w:rPr>
  </w:style>
  <w:style w:type="paragraph" w:styleId="582">
    <w:name w:val="Верхний колонтитул"/>
    <w:basedOn w:val="574"/>
    <w:next w:val="582"/>
    <w:link w:val="574"/>
    <w:pPr>
      <w:tabs>
        <w:tab w:val="center" w:pos="4153" w:leader="none"/>
        <w:tab w:val="right" w:pos="8306" w:leader="none"/>
      </w:tabs>
    </w:pPr>
  </w:style>
  <w:style w:type="paragraph" w:styleId="583">
    <w:name w:val="Нижний колонтитул"/>
    <w:basedOn w:val="574"/>
    <w:next w:val="583"/>
    <w:link w:val="590"/>
    <w:pPr>
      <w:tabs>
        <w:tab w:val="center" w:pos="4153" w:leader="none"/>
        <w:tab w:val="right" w:pos="8306" w:leader="none"/>
      </w:tabs>
    </w:pPr>
  </w:style>
  <w:style w:type="paragraph" w:styleId="584">
    <w:name w:val="Название объекта"/>
    <w:basedOn w:val="574"/>
    <w:next w:val="574"/>
    <w:link w:val="574"/>
    <w:rPr>
      <w:b/>
      <w:sz w:val="40"/>
    </w:rPr>
    <w:pPr>
      <w:jc w:val="center"/>
      <w:widowControl/>
    </w:pPr>
  </w:style>
  <w:style w:type="paragraph" w:styleId="585">
    <w:name w:val=" Char"/>
    <w:basedOn w:val="574"/>
    <w:next w:val="585"/>
    <w:link w:val="574"/>
    <w:rPr>
      <w:rFonts w:ascii="Arial" w:hAnsi="Arial"/>
      <w:lang w:val="fr-FR" w:eastAsia="en-US"/>
    </w:rPr>
    <w:pPr>
      <w:spacing w:lineRule="exact" w:line="240" w:after="160"/>
      <w:widowControl/>
    </w:pPr>
  </w:style>
  <w:style w:type="character" w:styleId="586">
    <w:name w:val="Гиперссылка"/>
    <w:next w:val="586"/>
    <w:link w:val="574"/>
    <w:rPr>
      <w:color w:val="0000FF"/>
      <w:u w:val="single"/>
    </w:rPr>
  </w:style>
  <w:style w:type="character" w:styleId="587">
    <w:name w:val="Номер страницы"/>
    <w:basedOn w:val="581"/>
    <w:next w:val="587"/>
    <w:link w:val="574"/>
  </w:style>
  <w:style w:type="table" w:styleId="588">
    <w:name w:val="Сетка таблицы"/>
    <w:basedOn w:val="579"/>
    <w:next w:val="588"/>
    <w:link w:val="574"/>
    <w:pPr>
      <w:widowControl w:val="off"/>
    </w:pPr>
    <w:tblPr/>
  </w:style>
  <w:style w:type="paragraph" w:styleId="589">
    <w:name w:val=" Знак Знак Знак Знак Знак Знак Знак"/>
    <w:basedOn w:val="574"/>
    <w:next w:val="589"/>
    <w:link w:val="574"/>
    <w:rPr>
      <w:b/>
      <w:i/>
      <w:sz w:val="28"/>
      <w:lang w:val="en-GB" w:eastAsia="en-US"/>
    </w:rPr>
    <w:pPr>
      <w:numPr>
        <w:ilvl w:val="0"/>
        <w:numId w:val="1"/>
      </w:numPr>
      <w:jc w:val="center"/>
      <w:spacing w:lineRule="exact" w:line="240" w:after="160"/>
    </w:pPr>
  </w:style>
  <w:style w:type="character" w:styleId="590">
    <w:name w:val="Нижний колонтитул Знак"/>
    <w:next w:val="590"/>
    <w:link w:val="583"/>
  </w:style>
  <w:style w:type="paragraph" w:styleId="591">
    <w:name w:val="Абзац списка"/>
    <w:basedOn w:val="574"/>
    <w:next w:val="591"/>
    <w:link w:val="574"/>
    <w:pPr>
      <w:contextualSpacing w:val="true"/>
      <w:ind w:left="720"/>
    </w:pPr>
  </w:style>
  <w:style w:type="paragraph" w:styleId="592">
    <w:name w:val="Основной текст с отступом"/>
    <w:basedOn w:val="574"/>
    <w:next w:val="592"/>
    <w:link w:val="593"/>
    <w:rPr>
      <w:sz w:val="28"/>
    </w:rPr>
    <w:pPr>
      <w:ind w:firstLine="567"/>
      <w:jc w:val="both"/>
      <w:widowControl/>
    </w:pPr>
  </w:style>
  <w:style w:type="character" w:styleId="593">
    <w:name w:val="Основной текст с отступом Знак"/>
    <w:next w:val="593"/>
    <w:link w:val="592"/>
    <w:rPr>
      <w:sz w:val="28"/>
    </w:rPr>
  </w:style>
  <w:style w:type="paragraph" w:styleId="594">
    <w:name w:val="Текст выноски"/>
    <w:basedOn w:val="574"/>
    <w:next w:val="594"/>
    <w:link w:val="595"/>
    <w:rPr>
      <w:rFonts w:ascii="Tahoma" w:hAnsi="Tahoma"/>
      <w:sz w:val="16"/>
      <w:szCs w:val="16"/>
    </w:rPr>
  </w:style>
  <w:style w:type="character" w:styleId="595">
    <w:name w:val="Текст выноски Знак"/>
    <w:next w:val="595"/>
    <w:link w:val="594"/>
    <w:rPr>
      <w:rFonts w:ascii="Tahoma" w:hAnsi="Tahoma"/>
      <w:sz w:val="16"/>
      <w:szCs w:val="16"/>
    </w:rPr>
  </w:style>
  <w:style w:type="character" w:styleId="596" w:default="1">
    <w:name w:val="Default Paragraph Font"/>
    <w:uiPriority w:val="1"/>
    <w:semiHidden/>
    <w:unhideWhenUsed/>
  </w:style>
  <w:style w:type="numbering" w:styleId="597" w:default="1">
    <w:name w:val="No List"/>
    <w:uiPriority w:val="99"/>
    <w:semiHidden/>
    <w:unhideWhenUsed/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2021-01-27T09:47:10Z</dcterms:modified>
</cp:coreProperties>
</file>